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A588E" w14:textId="594190CD" w:rsidR="007B397C" w:rsidRDefault="0064062A" w:rsidP="0064062A">
      <w:pPr>
        <w:tabs>
          <w:tab w:val="left" w:pos="1354"/>
        </w:tabs>
      </w:pPr>
      <w:r>
        <w:tab/>
      </w:r>
    </w:p>
    <w:p w14:paraId="59C8A355" w14:textId="012ED12B" w:rsidR="0064062A" w:rsidRDefault="0064062A"/>
    <w:p w14:paraId="3663F151" w14:textId="77777777" w:rsidR="0064062A" w:rsidRPr="005C7762" w:rsidRDefault="0064062A" w:rsidP="0064062A">
      <w:pPr>
        <w:jc w:val="center"/>
        <w:rPr>
          <w:rFonts w:ascii="Calibri" w:hAnsi="Calibri"/>
          <w:sz w:val="28"/>
        </w:rPr>
      </w:pPr>
    </w:p>
    <w:p w14:paraId="332D7523" w14:textId="77777777" w:rsidR="0064062A" w:rsidRPr="005C7762" w:rsidRDefault="0064062A" w:rsidP="0064062A">
      <w:pPr>
        <w:jc w:val="center"/>
        <w:rPr>
          <w:rFonts w:ascii="Calibri" w:hAnsi="Calibri"/>
          <w:sz w:val="28"/>
        </w:rPr>
      </w:pPr>
      <w:r w:rsidRPr="005C7762">
        <w:rPr>
          <w:rFonts w:ascii="Calibri" w:hAnsi="Calibri"/>
          <w:sz w:val="28"/>
        </w:rPr>
        <w:t>Hexamethyldisilizane (HMDS) SEM Sample Prep</w:t>
      </w:r>
    </w:p>
    <w:p w14:paraId="71F388D8" w14:textId="732EAB02" w:rsidR="0064062A" w:rsidRPr="005C7762" w:rsidRDefault="00552901" w:rsidP="0064062A">
      <w:pPr>
        <w:jc w:val="center"/>
        <w:rPr>
          <w:rFonts w:ascii="Calibri" w:hAnsi="Calibri"/>
          <w:sz w:val="28"/>
        </w:rPr>
      </w:pPr>
      <w:r>
        <w:fldChar w:fldCharType="begin"/>
      </w:r>
      <w:r>
        <w:instrText xml:space="preserve"> INCLUDEPICTURE "https://www.osha.com/sites/osha/files/2022-08/flammable-symbol.jpg" \* MERGEFORMATINET </w:instrText>
      </w:r>
      <w:r>
        <w:fldChar w:fldCharType="separate"/>
      </w:r>
      <w:r>
        <w:drawing>
          <wp:inline distT="0" distB="0" distL="0" distR="0" wp14:anchorId="59ABFCFF" wp14:editId="72700DC4">
            <wp:extent cx="365760" cy="365760"/>
            <wp:effectExtent l="0" t="0" r="2540" b="2540"/>
            <wp:docPr id="883720603" name="Picture 6"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mmable symb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fldChar w:fldCharType="end"/>
      </w:r>
      <w:r>
        <w:fldChar w:fldCharType="begin"/>
      </w:r>
      <w:r>
        <w:instrText xml:space="preserve"> INCLUDEPICTURE "https://www.osha.com/sites/osha/files/2022-08/toxic-ghs.jpg" \* MERGEFORMATINET </w:instrText>
      </w:r>
      <w:r>
        <w:fldChar w:fldCharType="separate"/>
      </w:r>
      <w:r>
        <w:drawing>
          <wp:inline distT="0" distB="0" distL="0" distR="0" wp14:anchorId="51EC449D" wp14:editId="4B17FDCA">
            <wp:extent cx="365760" cy="365760"/>
            <wp:effectExtent l="0" t="0" r="2540" b="2540"/>
            <wp:docPr id="1405727944" name="Picture 2" descr="toxic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xic gh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fldChar w:fldCharType="end"/>
      </w:r>
      <w:r w:rsidR="00C84068">
        <w:fldChar w:fldCharType="begin"/>
      </w:r>
      <w:r w:rsidR="00C84068">
        <w:instrText xml:space="preserve"> INCLUDEPICTURE "https://www.osha.com/sites/osha/files/2022-08/health-hazard-symbol.jpg" \* MERGEFORMATINET </w:instrText>
      </w:r>
      <w:r w:rsidR="00C84068">
        <w:fldChar w:fldCharType="separate"/>
      </w:r>
      <w:r w:rsidR="00C84068">
        <w:drawing>
          <wp:inline distT="0" distB="0" distL="0" distR="0" wp14:anchorId="7FB655E9" wp14:editId="110AB658">
            <wp:extent cx="365760" cy="365760"/>
            <wp:effectExtent l="0" t="0" r="2540" b="2540"/>
            <wp:docPr id="481431436" name="Picture 4"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 hazard symb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C84068">
        <w:fldChar w:fldCharType="end"/>
      </w:r>
      <w:r w:rsidR="00C84068">
        <w:fldChar w:fldCharType="begin"/>
      </w:r>
      <w:r w:rsidR="00C84068">
        <w:instrText xml:space="preserve"> INCLUDEPICTURE "https://www.osha.com/sites/osha/files/2022-08/marhful-ghs.jpg" \* MERGEFORMATINET </w:instrText>
      </w:r>
      <w:r w:rsidR="00C84068">
        <w:fldChar w:fldCharType="separate"/>
      </w:r>
      <w:r w:rsidR="00C84068">
        <w:drawing>
          <wp:inline distT="0" distB="0" distL="0" distR="0" wp14:anchorId="606350F4" wp14:editId="5D2589C3">
            <wp:extent cx="365760" cy="365760"/>
            <wp:effectExtent l="0" t="0" r="2540" b="2540"/>
            <wp:docPr id="2069148232" name="Picture 3" descr="harmful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mful g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00C84068">
        <w:fldChar w:fldCharType="end"/>
      </w:r>
    </w:p>
    <w:p w14:paraId="26D5AB19" w14:textId="77777777" w:rsidR="0064062A" w:rsidRPr="005C7762" w:rsidRDefault="0064062A" w:rsidP="0064062A">
      <w:pPr>
        <w:jc w:val="center"/>
        <w:rPr>
          <w:rFonts w:ascii="Calibri" w:hAnsi="Calibri"/>
        </w:rPr>
      </w:pPr>
      <w:r w:rsidRPr="005C7762">
        <w:rPr>
          <w:rFonts w:ascii="Calibri" w:hAnsi="Calibri"/>
        </w:rPr>
        <w:t>Chemical (HMDS) drying of samples for scanning electron microscopy observation</w:t>
      </w:r>
    </w:p>
    <w:p w14:paraId="6E11B5D2" w14:textId="77777777" w:rsidR="0064062A" w:rsidRPr="005C7762" w:rsidRDefault="0064062A" w:rsidP="0064062A">
      <w:pPr>
        <w:jc w:val="center"/>
        <w:rPr>
          <w:rFonts w:ascii="Calibri" w:hAnsi="Calibri"/>
        </w:rPr>
      </w:pPr>
    </w:p>
    <w:p w14:paraId="38792E07" w14:textId="77777777" w:rsidR="0064062A" w:rsidRPr="005C7762" w:rsidRDefault="0064062A" w:rsidP="0064062A">
      <w:pPr>
        <w:rPr>
          <w:rFonts w:ascii="Calibri" w:hAnsi="Calibri"/>
        </w:rPr>
      </w:pPr>
      <w:r w:rsidRPr="005C7762">
        <w:rPr>
          <w:rFonts w:ascii="Calibri" w:hAnsi="Calibri"/>
          <w:b/>
        </w:rPr>
        <w:t>Protective Equipment</w:t>
      </w:r>
      <w:r w:rsidRPr="005C7762">
        <w:rPr>
          <w:rFonts w:ascii="Calibri" w:hAnsi="Calibri"/>
        </w:rPr>
        <w:t>; Safety glasses, lab coat, gloves and Chemical Fume hood</w:t>
      </w:r>
    </w:p>
    <w:p w14:paraId="1BE79C62" w14:textId="77777777" w:rsidR="0064062A" w:rsidRPr="005C7762" w:rsidRDefault="0064062A" w:rsidP="0064062A">
      <w:pPr>
        <w:rPr>
          <w:rFonts w:ascii="Calibri" w:hAnsi="Calibri"/>
        </w:rPr>
      </w:pPr>
    </w:p>
    <w:p w14:paraId="1F672D47" w14:textId="563A4AF0" w:rsidR="0064062A" w:rsidRPr="005C7762" w:rsidRDefault="0064062A" w:rsidP="0064062A">
      <w:pPr>
        <w:jc w:val="center"/>
        <w:rPr>
          <w:rFonts w:ascii="Calibri" w:hAnsi="Calibri"/>
        </w:rPr>
      </w:pPr>
    </w:p>
    <w:p w14:paraId="5440AFD1" w14:textId="77777777" w:rsidR="0064062A" w:rsidRPr="005C7762" w:rsidRDefault="0064062A" w:rsidP="0064062A">
      <w:pPr>
        <w:rPr>
          <w:rFonts w:ascii="Calibri" w:hAnsi="Calibri"/>
        </w:rPr>
      </w:pPr>
    </w:p>
    <w:p w14:paraId="50A5D983" w14:textId="7EDFE73A" w:rsidR="0064062A" w:rsidRPr="005C7762" w:rsidRDefault="0064062A" w:rsidP="0064062A">
      <w:pPr>
        <w:rPr>
          <w:rFonts w:ascii="Calibri" w:hAnsi="Calibri"/>
        </w:rPr>
      </w:pPr>
      <w:r w:rsidRPr="005C7762">
        <w:rPr>
          <w:rFonts w:ascii="Calibri" w:hAnsi="Calibri"/>
        </w:rPr>
        <w:t xml:space="preserve">HMDS </w:t>
      </w:r>
      <w:r w:rsidR="00AB5536">
        <w:fldChar w:fldCharType="begin"/>
      </w:r>
      <w:r w:rsidR="00AB5536">
        <w:instrText xml:space="preserve"> INCLUDEPICTURE "https://www.osha.com/sites/osha/files/2022-08/flammable-symbol.jpg" \* MERGEFORMATINET </w:instrText>
      </w:r>
      <w:r w:rsidR="00AB5536">
        <w:fldChar w:fldCharType="separate"/>
      </w:r>
      <w:r w:rsidR="00AB5536">
        <w:drawing>
          <wp:inline distT="0" distB="0" distL="0" distR="0" wp14:anchorId="7290E287" wp14:editId="3B4F3E65">
            <wp:extent cx="274320" cy="274320"/>
            <wp:effectExtent l="0" t="0" r="5080" b="5080"/>
            <wp:docPr id="498640241" name="Picture 498640241"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mmabl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AB5536">
        <w:fldChar w:fldCharType="end"/>
      </w:r>
      <w:r w:rsidR="00AB5536">
        <w:fldChar w:fldCharType="begin"/>
      </w:r>
      <w:r w:rsidR="00AB5536">
        <w:instrText xml:space="preserve"> INCLUDEPICTURE "https://www.osha.com/sites/osha/files/2022-08/toxic-ghs.jpg" \* MERGEFORMATINET </w:instrText>
      </w:r>
      <w:r w:rsidR="00AB5536">
        <w:fldChar w:fldCharType="separate"/>
      </w:r>
      <w:r w:rsidR="00AB5536">
        <w:drawing>
          <wp:inline distT="0" distB="0" distL="0" distR="0" wp14:anchorId="6A196B00" wp14:editId="6C2AD5AF">
            <wp:extent cx="274320" cy="274320"/>
            <wp:effectExtent l="0" t="0" r="5080" b="5080"/>
            <wp:docPr id="189435411" name="Picture 189435411" descr="toxic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xic gh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AB5536">
        <w:fldChar w:fldCharType="end"/>
      </w:r>
      <w:r w:rsidR="00AB5536">
        <w:t>i</w:t>
      </w:r>
      <w:r w:rsidRPr="005C7762">
        <w:rPr>
          <w:rFonts w:ascii="Calibri" w:hAnsi="Calibri"/>
        </w:rPr>
        <w:t>s a final drying step for samples intended for the SEM, use after fixation and dehydration protocols.</w:t>
      </w:r>
      <w:r>
        <w:rPr>
          <w:rFonts w:ascii="Calibri" w:hAnsi="Calibri"/>
        </w:rPr>
        <w:t xml:space="preserve"> It is highly volatile and hazardous – read MSDS and all warnings before use.</w:t>
      </w:r>
    </w:p>
    <w:p w14:paraId="059668B6" w14:textId="77777777" w:rsidR="0064062A" w:rsidRPr="005C7762" w:rsidRDefault="0064062A" w:rsidP="0064062A">
      <w:pPr>
        <w:rPr>
          <w:rFonts w:ascii="Calibri" w:hAnsi="Calibri"/>
        </w:rPr>
      </w:pPr>
    </w:p>
    <w:p w14:paraId="763BB3BA" w14:textId="77777777" w:rsidR="0064062A" w:rsidRPr="005C7762" w:rsidRDefault="0064062A" w:rsidP="0064062A">
      <w:pPr>
        <w:rPr>
          <w:rFonts w:ascii="Calibri" w:hAnsi="Calibri"/>
        </w:rPr>
      </w:pPr>
      <w:r w:rsidRPr="005C7762">
        <w:rPr>
          <w:rFonts w:ascii="Calibri" w:hAnsi="Calibri"/>
        </w:rPr>
        <w:t>The amount of time for each step can range from 5 - 20 minutes or more. If samples are very small (i.e. single cell organisms) then use the shorter times, as size and complexity increase, also increase the time in each solution.  You may need to experiment with this procedure to produce the best results for your samples.</w:t>
      </w:r>
    </w:p>
    <w:p w14:paraId="6B6AEDD0" w14:textId="77777777" w:rsidR="0064062A" w:rsidRPr="005C7762" w:rsidRDefault="0064062A" w:rsidP="0064062A">
      <w:pPr>
        <w:rPr>
          <w:rFonts w:ascii="Calibri" w:hAnsi="Calibri"/>
        </w:rPr>
      </w:pPr>
    </w:p>
    <w:p w14:paraId="00323F86" w14:textId="45289C53" w:rsidR="0064062A" w:rsidRPr="005C7762" w:rsidRDefault="0064062A" w:rsidP="0064062A">
      <w:pPr>
        <w:rPr>
          <w:rFonts w:ascii="Calibri" w:hAnsi="Calibri"/>
        </w:rPr>
      </w:pPr>
      <w:r w:rsidRPr="005C7762">
        <w:rPr>
          <w:rFonts w:ascii="Calibri" w:hAnsi="Calibri"/>
        </w:rPr>
        <w:tab/>
      </w:r>
      <w:r w:rsidRPr="005C7762">
        <w:rPr>
          <w:rFonts w:ascii="Calibri" w:hAnsi="Calibri"/>
        </w:rPr>
        <w:tab/>
      </w:r>
      <w:r w:rsidR="00AB5536">
        <w:fldChar w:fldCharType="begin"/>
      </w:r>
      <w:r w:rsidR="00AB5536">
        <w:instrText xml:space="preserve"> INCLUDEPICTURE "https://www.osha.com/sites/osha/files/2022-08/flammable-symbol.jpg" \* MERGEFORMATINET </w:instrText>
      </w:r>
      <w:r w:rsidR="00AB5536">
        <w:fldChar w:fldCharType="separate"/>
      </w:r>
      <w:r w:rsidR="00AB5536">
        <w:drawing>
          <wp:inline distT="0" distB="0" distL="0" distR="0" wp14:anchorId="442F8875" wp14:editId="6E92D8E0">
            <wp:extent cx="274320" cy="274320"/>
            <wp:effectExtent l="0" t="0" r="5080" b="5080"/>
            <wp:docPr id="1291549224" name="Picture 1291549224" descr="flammabl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ammable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AB5536">
        <w:fldChar w:fldCharType="end"/>
      </w:r>
      <w:r w:rsidR="00AB5536">
        <w:fldChar w:fldCharType="begin"/>
      </w:r>
      <w:r w:rsidR="00AB5536">
        <w:instrText xml:space="preserve"> INCLUDEPICTURE "https://www.osha.com/sites/osha/files/2022-08/health-hazard-symbol.jpg" \* MERGEFORMATINET </w:instrText>
      </w:r>
      <w:r w:rsidR="00AB5536">
        <w:fldChar w:fldCharType="separate"/>
      </w:r>
      <w:r w:rsidR="00AB5536">
        <w:drawing>
          <wp:inline distT="0" distB="0" distL="0" distR="0" wp14:anchorId="12970A8E" wp14:editId="477CA2C2">
            <wp:extent cx="274320" cy="274320"/>
            <wp:effectExtent l="0" t="0" r="5080" b="5080"/>
            <wp:docPr id="1613670013" name="Picture 1613670013" descr="health hazard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lth hazard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AB5536">
        <w:fldChar w:fldCharType="end"/>
      </w:r>
      <w:r w:rsidR="00AB5536">
        <w:fldChar w:fldCharType="begin"/>
      </w:r>
      <w:r w:rsidR="00AB5536">
        <w:instrText xml:space="preserve"> INCLUDEPICTURE "https://www.osha.com/sites/osha/files/2022-08/marhful-ghs.jpg" \* MERGEFORMATINET </w:instrText>
      </w:r>
      <w:r w:rsidR="00AB5536">
        <w:fldChar w:fldCharType="separate"/>
      </w:r>
      <w:r w:rsidR="00AB5536">
        <w:drawing>
          <wp:inline distT="0" distB="0" distL="0" distR="0" wp14:anchorId="137CB6A9" wp14:editId="32781E21">
            <wp:extent cx="274320" cy="274320"/>
            <wp:effectExtent l="0" t="0" r="5080" b="5080"/>
            <wp:docPr id="1851598052" name="Picture 1851598052" descr="harmful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mful gh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AB5536">
        <w:fldChar w:fldCharType="end"/>
      </w:r>
      <w:r w:rsidR="00AB5536">
        <w:rPr>
          <w:rFonts w:ascii="Calibri" w:hAnsi="Calibri"/>
        </w:rPr>
        <w:t xml:space="preserve"> </w:t>
      </w:r>
      <w:r w:rsidRPr="005C7762">
        <w:rPr>
          <w:rFonts w:ascii="Calibri" w:hAnsi="Calibri"/>
        </w:rPr>
        <w:t>100%</w:t>
      </w:r>
      <w:r>
        <w:rPr>
          <w:rFonts w:ascii="Calibri" w:hAnsi="Calibri"/>
        </w:rPr>
        <w:t xml:space="preserve"> </w:t>
      </w:r>
      <w:r w:rsidRPr="005C7762">
        <w:rPr>
          <w:rFonts w:ascii="Calibri" w:hAnsi="Calibri"/>
        </w:rPr>
        <w:t>EtOH</w:t>
      </w:r>
      <w:r>
        <w:rPr>
          <w:rFonts w:ascii="Calibri" w:hAnsi="Calibri"/>
        </w:rPr>
        <w:tab/>
        <w:t>10 minutes</w:t>
      </w:r>
    </w:p>
    <w:p w14:paraId="22BBAE01" w14:textId="4124A8AA" w:rsidR="0064062A" w:rsidRPr="005C7762" w:rsidRDefault="0064062A" w:rsidP="0064062A">
      <w:pPr>
        <w:rPr>
          <w:rFonts w:ascii="Calibri" w:hAnsi="Calibri"/>
        </w:rPr>
      </w:pPr>
      <w:r w:rsidRPr="005C7762">
        <w:rPr>
          <w:rFonts w:ascii="Calibri" w:hAnsi="Calibri"/>
        </w:rPr>
        <w:tab/>
      </w:r>
      <w:r w:rsidRPr="005C7762">
        <w:rPr>
          <w:rFonts w:ascii="Calibri" w:hAnsi="Calibri"/>
        </w:rPr>
        <w:tab/>
        <w:t>100%</w:t>
      </w:r>
      <w:r>
        <w:rPr>
          <w:rFonts w:ascii="Calibri" w:hAnsi="Calibri"/>
        </w:rPr>
        <w:t xml:space="preserve"> </w:t>
      </w:r>
      <w:r w:rsidRPr="005C7762">
        <w:rPr>
          <w:rFonts w:ascii="Calibri" w:hAnsi="Calibri"/>
        </w:rPr>
        <w:t>HMDS</w:t>
      </w:r>
      <w:r w:rsidR="00AB5536">
        <w:t xml:space="preserve"> </w:t>
      </w:r>
      <w:r>
        <w:rPr>
          <w:rFonts w:ascii="Calibri" w:hAnsi="Calibri"/>
        </w:rPr>
        <w:tab/>
        <w:t>10 – 30 minutes (depends on sample density)</w:t>
      </w:r>
    </w:p>
    <w:p w14:paraId="150F2A4B" w14:textId="36674DBC" w:rsidR="0064062A" w:rsidRPr="005C7762" w:rsidRDefault="0064062A" w:rsidP="0064062A">
      <w:pPr>
        <w:rPr>
          <w:rFonts w:ascii="Calibri" w:hAnsi="Calibri"/>
        </w:rPr>
      </w:pPr>
      <w:r w:rsidRPr="005C7762">
        <w:rPr>
          <w:rFonts w:ascii="Calibri" w:hAnsi="Calibri"/>
        </w:rPr>
        <w:tab/>
      </w:r>
      <w:r w:rsidRPr="005C7762">
        <w:rPr>
          <w:rFonts w:ascii="Calibri" w:hAnsi="Calibri"/>
        </w:rPr>
        <w:tab/>
        <w:t>100%</w:t>
      </w:r>
      <w:r>
        <w:rPr>
          <w:rFonts w:ascii="Calibri" w:hAnsi="Calibri"/>
        </w:rPr>
        <w:t xml:space="preserve"> </w:t>
      </w:r>
      <w:r w:rsidRPr="005C7762">
        <w:rPr>
          <w:rFonts w:ascii="Calibri" w:hAnsi="Calibri"/>
        </w:rPr>
        <w:t>HMDS</w:t>
      </w:r>
      <w:r>
        <w:rPr>
          <w:rFonts w:ascii="Calibri" w:hAnsi="Calibri"/>
        </w:rPr>
        <w:tab/>
        <w:t>just enough to cover sample, leave overnight in hood</w:t>
      </w:r>
    </w:p>
    <w:p w14:paraId="01D63D84" w14:textId="77777777" w:rsidR="0064062A" w:rsidRPr="005C7762" w:rsidRDefault="0064062A" w:rsidP="0064062A">
      <w:pPr>
        <w:rPr>
          <w:rFonts w:ascii="Calibri" w:hAnsi="Calibri"/>
        </w:rPr>
      </w:pPr>
    </w:p>
    <w:p w14:paraId="1302A242" w14:textId="77777777" w:rsidR="0064062A" w:rsidRDefault="0064062A" w:rsidP="0064062A">
      <w:pPr>
        <w:rPr>
          <w:rFonts w:ascii="Calibri" w:hAnsi="Calibri"/>
        </w:rPr>
      </w:pPr>
      <w:r>
        <w:rPr>
          <w:rFonts w:ascii="Calibri" w:hAnsi="Calibri"/>
        </w:rPr>
        <w:t>Tissues</w:t>
      </w:r>
      <w:r w:rsidRPr="005C7762">
        <w:rPr>
          <w:rFonts w:ascii="Calibri" w:hAnsi="Calibri"/>
        </w:rPr>
        <w:t xml:space="preserve"> may be left in original containers </w:t>
      </w:r>
      <w:r>
        <w:rPr>
          <w:rFonts w:ascii="Calibri" w:hAnsi="Calibri"/>
        </w:rPr>
        <w:t>.</w:t>
      </w:r>
      <w:r w:rsidRPr="00440629">
        <w:rPr>
          <w:rFonts w:ascii="Calibri" w:hAnsi="Calibri"/>
        </w:rPr>
        <w:t xml:space="preserve"> </w:t>
      </w:r>
      <w:r>
        <w:rPr>
          <w:rFonts w:ascii="Calibri" w:hAnsi="Calibri"/>
        </w:rPr>
        <w:t xml:space="preserve">It can be difficult to get bacteria or small particles out of tubes due to static or small sample size, in this case it is better to pipette onto </w:t>
      </w:r>
      <w:r w:rsidRPr="005C7762">
        <w:rPr>
          <w:rFonts w:ascii="Calibri" w:hAnsi="Calibri"/>
        </w:rPr>
        <w:t>small round coverslips attached to SEM stubs.</w:t>
      </w:r>
      <w:r>
        <w:rPr>
          <w:rFonts w:ascii="Calibri" w:hAnsi="Calibri"/>
        </w:rPr>
        <w:t xml:space="preserve"> </w:t>
      </w:r>
    </w:p>
    <w:p w14:paraId="67178562" w14:textId="77777777" w:rsidR="0064062A" w:rsidRPr="005C7762" w:rsidRDefault="0064062A" w:rsidP="0064062A">
      <w:pPr>
        <w:rPr>
          <w:rFonts w:ascii="Calibri" w:hAnsi="Calibri"/>
        </w:rPr>
      </w:pPr>
    </w:p>
    <w:p w14:paraId="116DD674" w14:textId="77777777" w:rsidR="004E058E" w:rsidRDefault="0064062A" w:rsidP="0064062A">
      <w:pPr>
        <w:rPr>
          <w:rFonts w:ascii="Calibri" w:hAnsi="Calibri"/>
        </w:rPr>
      </w:pPr>
      <w:r w:rsidRPr="005C7762">
        <w:rPr>
          <w:rFonts w:ascii="Calibri" w:hAnsi="Calibri"/>
        </w:rPr>
        <w:t>Let air dry in fume hood overnight longer if necessary .</w:t>
      </w:r>
    </w:p>
    <w:p w14:paraId="304209A9" w14:textId="77777777" w:rsidR="004E058E" w:rsidRDefault="0064062A" w:rsidP="0064062A">
      <w:pPr>
        <w:rPr>
          <w:rFonts w:ascii="Calibri" w:hAnsi="Calibri"/>
          <w:sz w:val="32"/>
          <w:szCs w:val="32"/>
        </w:rPr>
      </w:pPr>
      <w:r>
        <w:rPr>
          <w:rFonts w:ascii="Calibri" w:hAnsi="Calibri"/>
        </w:rPr>
        <w:t xml:space="preserve"> </w:t>
      </w:r>
      <w:r w:rsidRPr="004E058E">
        <w:rPr>
          <w:rFonts w:ascii="Calibri" w:hAnsi="Calibri"/>
          <w:sz w:val="32"/>
          <w:szCs w:val="32"/>
        </w:rPr>
        <w:t xml:space="preserve">After mounting, place in vacuum dessicator </w:t>
      </w:r>
      <w:r w:rsidR="004E058E">
        <w:rPr>
          <w:rFonts w:ascii="Calibri" w:hAnsi="Calibri"/>
          <w:sz w:val="32"/>
          <w:szCs w:val="32"/>
        </w:rPr>
        <w:t>to avoid contaminating the sputter coaters.</w:t>
      </w:r>
    </w:p>
    <w:p w14:paraId="0C64F56B" w14:textId="76F25384" w:rsidR="0064062A" w:rsidRDefault="004E058E" w:rsidP="0064062A">
      <w:pPr>
        <w:rPr>
          <w:rFonts w:ascii="Calibri" w:hAnsi="Calibri"/>
          <w:sz w:val="32"/>
          <w:szCs w:val="32"/>
        </w:rPr>
      </w:pPr>
      <w:r>
        <w:rPr>
          <w:rFonts w:ascii="Calibri" w:hAnsi="Calibri"/>
          <w:sz w:val="32"/>
          <w:szCs w:val="32"/>
        </w:rPr>
        <w:t xml:space="preserve">Samples smaller than 10 mm </w:t>
      </w:r>
      <w:r w:rsidR="00E37A2A">
        <w:rPr>
          <w:rFonts w:ascii="Calibri" w:hAnsi="Calibri"/>
          <w:sz w:val="32"/>
          <w:szCs w:val="32"/>
        </w:rPr>
        <w:t xml:space="preserve">vacuum dessicate </w:t>
      </w:r>
      <w:r w:rsidR="0064062A" w:rsidRPr="004E058E">
        <w:rPr>
          <w:rFonts w:ascii="Calibri" w:hAnsi="Calibri"/>
          <w:sz w:val="32"/>
          <w:szCs w:val="32"/>
        </w:rPr>
        <w:t xml:space="preserve">for 10 minutes </w:t>
      </w:r>
    </w:p>
    <w:p w14:paraId="05F5D803" w14:textId="1A4C6E95" w:rsidR="004E058E" w:rsidRPr="004E058E" w:rsidRDefault="004E058E" w:rsidP="0064062A">
      <w:pPr>
        <w:rPr>
          <w:rFonts w:ascii="Calibri" w:hAnsi="Calibri"/>
          <w:sz w:val="32"/>
          <w:szCs w:val="32"/>
        </w:rPr>
      </w:pPr>
      <w:r>
        <w:rPr>
          <w:rFonts w:ascii="Calibri" w:hAnsi="Calibri"/>
          <w:sz w:val="32"/>
          <w:szCs w:val="32"/>
        </w:rPr>
        <w:t xml:space="preserve">Samples larger than 10 mm </w:t>
      </w:r>
      <w:r w:rsidR="00E37A2A">
        <w:rPr>
          <w:rFonts w:ascii="Calibri" w:hAnsi="Calibri"/>
          <w:sz w:val="32"/>
          <w:szCs w:val="32"/>
        </w:rPr>
        <w:t xml:space="preserve">vacuum dessicate </w:t>
      </w:r>
      <w:r>
        <w:rPr>
          <w:rFonts w:ascii="Calibri" w:hAnsi="Calibri"/>
          <w:sz w:val="32"/>
          <w:szCs w:val="32"/>
        </w:rPr>
        <w:t xml:space="preserve">for </w:t>
      </w:r>
      <w:r w:rsidR="00E37A2A">
        <w:rPr>
          <w:rFonts w:ascii="Calibri" w:hAnsi="Calibri"/>
          <w:sz w:val="32"/>
          <w:szCs w:val="32"/>
        </w:rPr>
        <w:t>15</w:t>
      </w:r>
      <w:r>
        <w:rPr>
          <w:rFonts w:ascii="Calibri" w:hAnsi="Calibri"/>
          <w:sz w:val="32"/>
          <w:szCs w:val="32"/>
        </w:rPr>
        <w:t xml:space="preserve"> – 30 minutes</w:t>
      </w:r>
    </w:p>
    <w:p w14:paraId="1827C42B" w14:textId="77777777" w:rsidR="0064062A" w:rsidRPr="005C7762" w:rsidRDefault="0064062A" w:rsidP="0064062A">
      <w:pPr>
        <w:rPr>
          <w:rFonts w:ascii="Calibri" w:hAnsi="Calibri"/>
        </w:rPr>
      </w:pPr>
    </w:p>
    <w:p w14:paraId="489D653C" w14:textId="77777777" w:rsidR="0064062A" w:rsidRPr="005C7762" w:rsidRDefault="0064062A" w:rsidP="0064062A">
      <w:pPr>
        <w:rPr>
          <w:rFonts w:ascii="Calibri" w:hAnsi="Calibri"/>
        </w:rPr>
      </w:pPr>
    </w:p>
    <w:p w14:paraId="7C1B1790" w14:textId="77777777" w:rsidR="0064062A" w:rsidRDefault="0064062A"/>
    <w:sectPr w:rsidR="0064062A" w:rsidSect="006C49C2">
      <w:headerReference w:type="default" r:id="rId14"/>
      <w:footerReference w:type="default" r:id="rId15"/>
      <w:pgSz w:w="12240" w:h="15840"/>
      <w:pgMar w:top="720" w:right="1008" w:bottom="720" w:left="1152"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BF76" w14:textId="77777777" w:rsidR="00701699" w:rsidRDefault="00701699" w:rsidP="0064062A">
      <w:r>
        <w:separator/>
      </w:r>
    </w:p>
  </w:endnote>
  <w:endnote w:type="continuationSeparator" w:id="0">
    <w:p w14:paraId="7EB81EC5" w14:textId="77777777" w:rsidR="00701699" w:rsidRDefault="00701699" w:rsidP="006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8"/>
    <w:family w:val="auto"/>
    <w:pitch w:val="variable"/>
    <w:sig w:usb0="A00002BF" w:usb1="38CF7CFA" w:usb2="00000016" w:usb3="00000000" w:csb0="0014000F" w:csb1="00000000"/>
  </w:font>
  <w:font w:name="Optima">
    <w:panose1 w:val="02000503060000020004"/>
    <w:charset w:val="00"/>
    <w:family w:val="auto"/>
    <w:pitch w:val="variable"/>
    <w:sig w:usb0="80000067"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B192" w14:textId="44A5DC3A" w:rsidR="0064062A" w:rsidRDefault="0064062A" w:rsidP="0064062A">
    <w:pPr>
      <w:pStyle w:val="Footer"/>
      <w:jc w:val="right"/>
    </w:pPr>
    <w: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1D6AC" w14:textId="77777777" w:rsidR="00701699" w:rsidRDefault="00701699" w:rsidP="0064062A">
      <w:r>
        <w:separator/>
      </w:r>
    </w:p>
  </w:footnote>
  <w:footnote w:type="continuationSeparator" w:id="0">
    <w:p w14:paraId="3539AF53" w14:textId="77777777" w:rsidR="00701699" w:rsidRDefault="00701699" w:rsidP="006406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1218" w14:textId="77777777" w:rsidR="0064062A" w:rsidRDefault="0064062A" w:rsidP="0064062A">
    <w:pPr>
      <w:pStyle w:val="Header"/>
      <w:tabs>
        <w:tab w:val="left" w:pos="9140"/>
      </w:tabs>
      <w:rPr>
        <w:rFonts w:ascii="Calibri" w:hAnsi="Calibri"/>
        <w:sz w:val="20"/>
      </w:rPr>
    </w:pPr>
    <w:r w:rsidRPr="00AF0DEF">
      <w:rPr>
        <w:rFonts w:ascii="Calibri" w:hAnsi="Calibri"/>
        <w:sz w:val="20"/>
      </w:rPr>
      <w:t>Franceschi Microscopy &amp; Imaging Center</w:t>
    </w:r>
    <w:r w:rsidRPr="00AF0DEF">
      <w:rPr>
        <w:rFonts w:ascii="Calibri" w:hAnsi="Calibri"/>
        <w:sz w:val="20"/>
      </w:rPr>
      <w:tab/>
    </w:r>
    <w:r w:rsidRPr="00AF0DEF">
      <w:rPr>
        <w:rFonts w:ascii="Calibri" w:hAnsi="Calibri"/>
        <w:sz w:val="20"/>
      </w:rPr>
      <w:tab/>
    </w:r>
  </w:p>
  <w:p w14:paraId="690D9152" w14:textId="6862D12B" w:rsidR="0064062A" w:rsidRPr="0064062A" w:rsidRDefault="0064062A" w:rsidP="0064062A">
    <w:pPr>
      <w:pStyle w:val="Header"/>
      <w:tabs>
        <w:tab w:val="left" w:pos="9140"/>
      </w:tabs>
      <w:rPr>
        <w:rFonts w:ascii="Calibri" w:hAnsi="Calibri"/>
        <w:sz w:val="20"/>
      </w:rPr>
    </w:pPr>
    <w:r w:rsidRPr="00AF0DEF">
      <w:rPr>
        <w:rFonts w:ascii="Calibri" w:hAnsi="Calibri"/>
        <w:sz w:val="20"/>
      </w:rPr>
      <w:t>Washington State University</w:t>
    </w:r>
    <w:r w:rsidRPr="00AF0DEF">
      <w:rPr>
        <w:rFonts w:ascii="Calibri" w:hAnsi="Calibri"/>
        <w:sz w:val="20"/>
      </w:rPr>
      <w:tab/>
    </w:r>
    <w:r>
      <w:rPr>
        <w:rFonts w:ascii="Calibri" w:hAnsi="Calibri"/>
        <w:sz w:val="20"/>
      </w:rPr>
      <w:tab/>
    </w:r>
    <w:r w:rsidRPr="00AF0DEF">
      <w:rPr>
        <w:rFonts w:ascii="Calibri" w:hAnsi="Calibri"/>
        <w:sz w:val="20"/>
      </w:rPr>
      <w:fldChar w:fldCharType="begin"/>
    </w:r>
    <w:r w:rsidRPr="00AF0DEF">
      <w:rPr>
        <w:rFonts w:ascii="Calibri" w:hAnsi="Calibri"/>
        <w:sz w:val="20"/>
      </w:rPr>
      <w:instrText xml:space="preserve"> DATE \@ "M/d/yy" </w:instrText>
    </w:r>
    <w:r w:rsidRPr="00AF0DEF">
      <w:rPr>
        <w:rFonts w:ascii="Calibri" w:hAnsi="Calibri"/>
        <w:sz w:val="20"/>
      </w:rPr>
      <w:fldChar w:fldCharType="separate"/>
    </w:r>
    <w:r w:rsidR="00C84068">
      <w:rPr>
        <w:rFonts w:ascii="Calibri" w:hAnsi="Calibri"/>
        <w:sz w:val="20"/>
      </w:rPr>
      <w:t>10/30/23</w:t>
    </w:r>
    <w:r w:rsidRPr="00AF0DEF">
      <w:rPr>
        <w:rFonts w:ascii="Calibri" w:hAnsi="Calibri"/>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62A"/>
    <w:rsid w:val="000B5579"/>
    <w:rsid w:val="00135897"/>
    <w:rsid w:val="0035086B"/>
    <w:rsid w:val="003C498F"/>
    <w:rsid w:val="00411366"/>
    <w:rsid w:val="004A1E46"/>
    <w:rsid w:val="004E058E"/>
    <w:rsid w:val="00552901"/>
    <w:rsid w:val="00553AFC"/>
    <w:rsid w:val="005C48F8"/>
    <w:rsid w:val="0064062A"/>
    <w:rsid w:val="006C49C2"/>
    <w:rsid w:val="00701699"/>
    <w:rsid w:val="007B397C"/>
    <w:rsid w:val="00913AB5"/>
    <w:rsid w:val="00A21FD6"/>
    <w:rsid w:val="00AB5536"/>
    <w:rsid w:val="00BB197C"/>
    <w:rsid w:val="00C46C1B"/>
    <w:rsid w:val="00C84068"/>
    <w:rsid w:val="00DA1EB6"/>
    <w:rsid w:val="00E37A2A"/>
    <w:rsid w:val="00ED7DB2"/>
    <w:rsid w:val="00EE0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5E67423"/>
  <w15:chartTrackingRefBased/>
  <w15:docId w15:val="{22126B42-3C0C-5748-9CFB-09C556BC8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62A"/>
    <w:rPr>
      <w:rFonts w:ascii="Optima" w:eastAsia="Times" w:hAnsi="Optima" w:cs="Times New Roman"/>
      <w:noProo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62A"/>
    <w:pPr>
      <w:tabs>
        <w:tab w:val="center" w:pos="4680"/>
        <w:tab w:val="right" w:pos="9360"/>
      </w:tabs>
    </w:pPr>
  </w:style>
  <w:style w:type="character" w:customStyle="1" w:styleId="HeaderChar">
    <w:name w:val="Header Char"/>
    <w:basedOn w:val="DefaultParagraphFont"/>
    <w:link w:val="Header"/>
    <w:uiPriority w:val="99"/>
    <w:rsid w:val="0064062A"/>
    <w:rPr>
      <w:rFonts w:ascii="Optima" w:eastAsia="Times" w:hAnsi="Optima" w:cs="Times New Roman"/>
      <w:noProof/>
      <w:szCs w:val="20"/>
      <w:lang w:eastAsia="en-US"/>
    </w:rPr>
  </w:style>
  <w:style w:type="paragraph" w:styleId="Footer">
    <w:name w:val="footer"/>
    <w:basedOn w:val="Normal"/>
    <w:link w:val="FooterChar"/>
    <w:uiPriority w:val="99"/>
    <w:unhideWhenUsed/>
    <w:rsid w:val="0064062A"/>
    <w:pPr>
      <w:tabs>
        <w:tab w:val="center" w:pos="4680"/>
        <w:tab w:val="right" w:pos="9360"/>
      </w:tabs>
    </w:pPr>
  </w:style>
  <w:style w:type="character" w:customStyle="1" w:styleId="FooterChar">
    <w:name w:val="Footer Char"/>
    <w:basedOn w:val="DefaultParagraphFont"/>
    <w:link w:val="Footer"/>
    <w:uiPriority w:val="99"/>
    <w:rsid w:val="0064062A"/>
    <w:rPr>
      <w:rFonts w:ascii="Optima" w:eastAsia="Times" w:hAnsi="Optima" w:cs="Times New Roman"/>
      <w:noProof/>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Lynch-Holm, Valerie Jean</dc:creator>
  <cp:keywords/>
  <dc:description/>
  <cp:lastModifiedBy>Lynch-Holm, Valerie Jean</cp:lastModifiedBy>
  <cp:revision>6</cp:revision>
  <dcterms:created xsi:type="dcterms:W3CDTF">2021-01-25T17:49:00Z</dcterms:created>
  <dcterms:modified xsi:type="dcterms:W3CDTF">2023-10-30T22:49:00Z</dcterms:modified>
</cp:coreProperties>
</file>